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411 vom 21. Oktober 1993</w:t>
      </w:r>
    </w:p>
    <w:p>
      <w:r>
        <w:t>Bundesgericht (BGE), 1993-10-21, DE</w:t>
      </w:r>
    </w:p>
    <w:p>
      <w:r>
        <w:rPr>
          <w:b/>
        </w:rPr>
        <w:t xml:space="preserve">Quelle: </w:t>
      </w:r>
      <w:r>
        <w:t>https://mcp.opencaselaw.ch/entscheid/bge_119 IA 411</w:t>
      </w:r>
    </w:p>
    <w:p>
      <w:r>
        <w:t>FR: BGE 119 IA 411 du 21 octobre 1993</w:t>
      </w:r>
    </w:p>
    <w:p>
      <w:r>
        <w:t>IT: BGE 119 IA 411 del 21 ottobre 1993</w:t>
      </w:r>
    </w:p>
    <w:p>
      <w:pPr>
        <w:pStyle w:val="Heading2"/>
      </w:pPr>
      <w:r>
        <w:t>Regeste</w:t>
      </w:r>
    </w:p>
    <w:p>
      <w:r>
        <w:t>Regeste Art. 6 Ziff. 1 EMRK, Art. 4 und 22ter BV; gerichtliche Überprüfung einer Zonenplanänderung, die von einer Gemeindeexekutive erlassen und von einer Kantonsregierung genehmigt worden ist. 1. Zulässigkeit der Planungsmassnahme; Zuweisung von Grundstücksteilen in die Grünzone, Nichteinzonung in die Bauzone (E. 2). Interessenabwägung (E. 3). 2. Der Kognitionsbeschränkung des Bundesgerichts hinsichtlich der Sachverhaltsüberprüfung kommt vorliegend keine Bedeutung zu, da die für die Beurteilung der fraglichen Planungsmassnahme erheblichen Tatsachen nicht bestritten sind. Die richterliche Zurückhaltung bei der Beurteilung des Planungsermessens widerspricht Art. 6 Ziff. 1 EMRK nicht; sie steht der nach dieser Bestimmung verlangten und durch das Bundesgericht denn auch vorgenommenen umfassenden Rechtsanwendungskontrolle nicht entgegen. Sodann ist im staatsrechtlichen Beschwerdeverfahren ebenfalls dem Öffentlichkeitsgrundsatz angemessen Nachachtung verschafft worden (E. 5).</w:t>
      </w:r>
    </w:p>
    <w:p>
      <w:pPr>
        <w:pStyle w:val="Heading2"/>
      </w:pPr>
      <w:r>
        <w:t>Erwägungen</w:t>
      </w:r>
    </w:p>
    <w:p>
      <w:r>
        <w:rPr>
          <w:b/>
        </w:rPr>
        <w:t>E. 1</w:t>
      </w:r>
    </w:p>
    <w:p>
      <w:r>
        <w:t>(Prüfung der Eintretensvoraussetzungen. Streitgegenstand bildet nur die zonenrechtliche Behandlung der Parzelle Nr. 98 des Beschwerdeführers. Diesbezüglich steht nach Art. 34 Abs. 3 RPG einzig die staatsrechtliche Beschwerde an das Bundesgericht offen. Ob diese Planungsmassnahme eine materielle Enteignung bewirkt, ist nicht Gegenstand des vorliegenden Verfahrens. Zur Beurteilung dieser Frage sieht das Gesetz vom 6. Juni 1972 über die Raumplanung und das öffentliche Baurecht des Kantons St. Gallen [BauG] in Art. 125 ein besonderes Verfahren vor, in welchem als letzte kantonale Instanz das Verwaltungsgericht vorgesehen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